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53E2F1F2" w:rsidR="001B3943" w:rsidRDefault="001B3943" w:rsidP="00E45149">
      <w:pPr>
        <w:jc w:val="both"/>
        <w:rPr>
          <w:rFonts w:ascii="Arial" w:hAnsi="Arial" w:cs="Arial"/>
          <w:b/>
          <w:szCs w:val="22"/>
          <w:lang w:val="en-US"/>
        </w:rPr>
      </w:pPr>
    </w:p>
    <w:p w14:paraId="12685F48" w14:textId="6FA03912" w:rsidR="00E45149" w:rsidRPr="00B35597" w:rsidRDefault="00E60B25" w:rsidP="007402A8">
      <w:pPr>
        <w:pStyle w:val="Heading1"/>
        <w:rPr>
          <w:rFonts w:ascii="Calibri" w:hAnsi="Calibri" w:cs="Calibri"/>
          <w:szCs w:val="40"/>
          <w:lang w:val="en-US"/>
        </w:rPr>
      </w:pPr>
      <w:r w:rsidRPr="00B35597">
        <w:rPr>
          <w:rFonts w:ascii="Calibri" w:hAnsi="Calibri" w:cs="Calibri"/>
          <w:szCs w:val="40"/>
          <w:lang w:val="en-US"/>
        </w:rPr>
        <w:t>Who can apply?</w:t>
      </w:r>
    </w:p>
    <w:p w14:paraId="32065BCC" w14:textId="1D661E42" w:rsidR="00FB474B" w:rsidRPr="00FB474B" w:rsidRDefault="00FB474B" w:rsidP="00FB474B">
      <w:pPr>
        <w:jc w:val="both"/>
        <w:rPr>
          <w:rFonts w:ascii="Calibri" w:hAnsi="Calibri" w:cs="Calibri"/>
          <w:szCs w:val="22"/>
        </w:rPr>
      </w:pPr>
      <w:r w:rsidRPr="00FB474B">
        <w:rPr>
          <w:rFonts w:ascii="Calibri" w:hAnsi="Calibri" w:cs="Calibri"/>
          <w:b/>
          <w:szCs w:val="22"/>
        </w:rPr>
        <w:t>Are you a</w:t>
      </w:r>
      <w:r w:rsidRPr="00FB474B">
        <w:rPr>
          <w:rFonts w:ascii="Calibri" w:hAnsi="Calibri" w:cs="Calibri"/>
          <w:szCs w:val="22"/>
          <w:lang w:val="en-US"/>
        </w:rPr>
        <w:t xml:space="preserve"> </w:t>
      </w:r>
      <w:r w:rsidRPr="00FB474B">
        <w:rPr>
          <w:rFonts w:ascii="Calibri" w:hAnsi="Calibri" w:cs="Calibri"/>
          <w:b/>
          <w:szCs w:val="22"/>
          <w:lang w:val="en-US"/>
        </w:rPr>
        <w:t>2nd year BSc</w:t>
      </w:r>
      <w:r w:rsidRPr="00FB474B">
        <w:rPr>
          <w:rFonts w:ascii="Calibri" w:hAnsi="Calibri" w:cs="Calibri"/>
          <w:szCs w:val="22"/>
          <w:lang w:val="en-US"/>
        </w:rPr>
        <w:t xml:space="preserve"> or </w:t>
      </w:r>
      <w:r w:rsidRPr="00FB474B">
        <w:rPr>
          <w:rFonts w:ascii="Calibri" w:hAnsi="Calibri" w:cs="Calibri"/>
          <w:b/>
          <w:szCs w:val="22"/>
          <w:lang w:val="en-US"/>
        </w:rPr>
        <w:t xml:space="preserve">1st year </w:t>
      </w:r>
      <w:proofErr w:type="spellStart"/>
      <w:r w:rsidRPr="00FB474B">
        <w:rPr>
          <w:rFonts w:ascii="Calibri" w:hAnsi="Calibri" w:cs="Calibri"/>
          <w:b/>
          <w:szCs w:val="22"/>
          <w:lang w:val="en-US"/>
        </w:rPr>
        <w:t>FdSc</w:t>
      </w:r>
      <w:proofErr w:type="spellEnd"/>
      <w:r w:rsidRPr="00FB474B">
        <w:rPr>
          <w:rFonts w:ascii="Calibri" w:hAnsi="Calibri" w:cs="Calibri"/>
          <w:szCs w:val="22"/>
          <w:lang w:val="en-US"/>
        </w:rPr>
        <w:t xml:space="preserve"> student studying </w:t>
      </w:r>
      <w:r w:rsidRPr="00FB474B">
        <w:rPr>
          <w:rFonts w:ascii="Calibri" w:hAnsi="Calibri" w:cs="Calibri"/>
          <w:szCs w:val="22"/>
        </w:rPr>
        <w:t xml:space="preserve">at Harper Adams University who is interested in pursuing a career in the </w:t>
      </w:r>
      <w:r w:rsidRPr="00FB474B">
        <w:rPr>
          <w:rFonts w:ascii="Calibri" w:hAnsi="Calibri" w:cs="Calibri"/>
          <w:b/>
          <w:szCs w:val="22"/>
        </w:rPr>
        <w:t>Poultry Industry</w:t>
      </w:r>
      <w:r w:rsidRPr="00FB474B">
        <w:rPr>
          <w:rFonts w:ascii="Calibri" w:hAnsi="Calibri" w:cs="Calibri"/>
          <w:szCs w:val="22"/>
        </w:rPr>
        <w:t>?</w:t>
      </w:r>
    </w:p>
    <w:p w14:paraId="7573C047" w14:textId="77777777" w:rsidR="00FB474B" w:rsidRPr="00FB474B" w:rsidRDefault="00FB474B" w:rsidP="00FB474B">
      <w:pPr>
        <w:rPr>
          <w:rFonts w:ascii="Calibri" w:hAnsi="Calibri" w:cs="Calibri"/>
          <w:szCs w:val="22"/>
          <w:lang w:val="en-US"/>
        </w:rPr>
      </w:pPr>
    </w:p>
    <w:p w14:paraId="3F5B0FE1" w14:textId="5FB8D3F1" w:rsidR="00135300" w:rsidRPr="00B35597" w:rsidRDefault="0036165F" w:rsidP="00B931C3">
      <w:pPr>
        <w:pStyle w:val="Heading1"/>
        <w:rPr>
          <w:rFonts w:ascii="Calibri" w:hAnsi="Calibri" w:cs="Calibri"/>
          <w:szCs w:val="40"/>
          <w:lang w:val="en-US"/>
        </w:rPr>
      </w:pPr>
      <w:r w:rsidRPr="00B35597">
        <w:rPr>
          <w:rFonts w:ascii="Calibri" w:hAnsi="Calibri" w:cs="Calibri"/>
          <w:szCs w:val="40"/>
          <w:lang w:val="en-US"/>
        </w:rPr>
        <w:t>Opportunitie</w:t>
      </w:r>
      <w:r w:rsidR="007402A8" w:rsidRPr="00B35597">
        <w:rPr>
          <w:rFonts w:ascii="Calibri" w:hAnsi="Calibri" w:cs="Calibri"/>
          <w:szCs w:val="40"/>
          <w:lang w:val="en-US"/>
        </w:rPr>
        <w:t>s</w:t>
      </w:r>
    </w:p>
    <w:p w14:paraId="0B228062" w14:textId="77777777" w:rsidR="00FB474B" w:rsidRPr="00FB474B" w:rsidRDefault="00FB474B" w:rsidP="00FB474B">
      <w:pPr>
        <w:jc w:val="both"/>
        <w:rPr>
          <w:rFonts w:ascii="Calibri" w:hAnsi="Calibri" w:cs="Calibri"/>
          <w:szCs w:val="22"/>
        </w:rPr>
      </w:pPr>
      <w:r w:rsidRPr="00FB474B">
        <w:rPr>
          <w:rFonts w:ascii="Calibri" w:hAnsi="Calibri" w:cs="Calibri"/>
          <w:szCs w:val="22"/>
          <w:lang w:val="en-US"/>
        </w:rPr>
        <w:t xml:space="preserve">The BPC sponsors </w:t>
      </w:r>
      <w:r w:rsidRPr="00FB474B">
        <w:rPr>
          <w:rFonts w:ascii="Calibri" w:hAnsi="Calibri" w:cs="Calibri"/>
          <w:b/>
          <w:szCs w:val="22"/>
          <w:lang w:val="en-US"/>
        </w:rPr>
        <w:t>may</w:t>
      </w:r>
      <w:r w:rsidRPr="00FB474B">
        <w:rPr>
          <w:rFonts w:ascii="Calibri" w:hAnsi="Calibri" w:cs="Calibri"/>
          <w:szCs w:val="22"/>
          <w:lang w:val="en-US"/>
        </w:rPr>
        <w:t xml:space="preserve"> each award </w:t>
      </w:r>
      <w:r w:rsidRPr="00FB474B">
        <w:rPr>
          <w:rFonts w:ascii="Calibri" w:hAnsi="Calibri" w:cs="Calibri"/>
          <w:b/>
          <w:szCs w:val="22"/>
          <w:lang w:val="en-US"/>
        </w:rPr>
        <w:t xml:space="preserve">one </w:t>
      </w:r>
      <w:r w:rsidRPr="00FB474B">
        <w:rPr>
          <w:rFonts w:ascii="Calibri" w:hAnsi="Calibri" w:cs="Calibri"/>
          <w:szCs w:val="22"/>
          <w:lang w:val="en-US"/>
        </w:rPr>
        <w:t xml:space="preserve">scholarship and if awarded </w:t>
      </w:r>
      <w:r w:rsidRPr="00FB474B">
        <w:rPr>
          <w:rFonts w:ascii="Calibri" w:hAnsi="Calibri" w:cs="Calibri"/>
          <w:szCs w:val="22"/>
        </w:rPr>
        <w:t>the successful recipient will receive:</w:t>
      </w:r>
    </w:p>
    <w:p w14:paraId="45A3E83F" w14:textId="146A5DD4" w:rsidR="00FB474B" w:rsidRPr="00FB474B" w:rsidRDefault="00FB474B" w:rsidP="00FB474B">
      <w:pPr>
        <w:jc w:val="both"/>
        <w:rPr>
          <w:rFonts w:ascii="Calibri" w:hAnsi="Calibri" w:cs="Calibri"/>
          <w:szCs w:val="22"/>
          <w:lang w:val="en-US"/>
        </w:rPr>
      </w:pPr>
    </w:p>
    <w:p w14:paraId="3C119F04" w14:textId="77777777" w:rsidR="00FB474B" w:rsidRPr="00FB474B" w:rsidRDefault="00FB474B" w:rsidP="00FB474B">
      <w:pPr>
        <w:numPr>
          <w:ilvl w:val="0"/>
          <w:numId w:val="17"/>
        </w:numPr>
        <w:jc w:val="both"/>
        <w:rPr>
          <w:rFonts w:ascii="Calibri" w:hAnsi="Calibri" w:cs="Calibri"/>
          <w:szCs w:val="22"/>
          <w:lang w:val="en-US"/>
        </w:rPr>
      </w:pPr>
      <w:r w:rsidRPr="00FB474B">
        <w:rPr>
          <w:rFonts w:ascii="Calibri" w:hAnsi="Calibri" w:cs="Calibri"/>
          <w:szCs w:val="22"/>
        </w:rPr>
        <w:t xml:space="preserve">A significant contribution towards their education of </w:t>
      </w:r>
      <w:r w:rsidRPr="00FB474B">
        <w:rPr>
          <w:rFonts w:ascii="Calibri" w:hAnsi="Calibri" w:cs="Calibri"/>
          <w:b/>
          <w:szCs w:val="22"/>
        </w:rPr>
        <w:t>£4,500</w:t>
      </w:r>
    </w:p>
    <w:p w14:paraId="0B0E2609" w14:textId="7FBC92AD" w:rsidR="00FB474B" w:rsidRPr="00FB474B" w:rsidRDefault="00FB474B" w:rsidP="00FB474B">
      <w:pPr>
        <w:numPr>
          <w:ilvl w:val="0"/>
          <w:numId w:val="17"/>
        </w:numPr>
        <w:jc w:val="both"/>
        <w:rPr>
          <w:rFonts w:ascii="Calibri" w:hAnsi="Calibri" w:cs="Calibri"/>
          <w:szCs w:val="22"/>
          <w:lang w:val="en-US"/>
        </w:rPr>
      </w:pPr>
      <w:r w:rsidRPr="00FB474B">
        <w:rPr>
          <w:rFonts w:ascii="Calibri" w:hAnsi="Calibri" w:cs="Calibri"/>
          <w:szCs w:val="22"/>
        </w:rPr>
        <w:t>Employment with the sponsoring BPC Company</w:t>
      </w:r>
      <w:r w:rsidRPr="00FB474B">
        <w:rPr>
          <w:rFonts w:ascii="Calibri" w:hAnsi="Calibri" w:cs="Calibri"/>
          <w:szCs w:val="22"/>
          <w:lang w:val="en-US"/>
        </w:rPr>
        <w:t xml:space="preserve"> </w:t>
      </w:r>
      <w:r w:rsidRPr="00FB474B">
        <w:rPr>
          <w:rFonts w:ascii="Calibri" w:hAnsi="Calibri" w:cs="Calibri"/>
          <w:szCs w:val="22"/>
        </w:rPr>
        <w:t>during placement year</w:t>
      </w:r>
    </w:p>
    <w:p w14:paraId="38D5E8FB" w14:textId="43F3AF8C" w:rsidR="00FB474B" w:rsidRPr="00FB474B" w:rsidRDefault="00FB474B" w:rsidP="00FB474B">
      <w:pPr>
        <w:numPr>
          <w:ilvl w:val="0"/>
          <w:numId w:val="17"/>
        </w:numPr>
        <w:jc w:val="both"/>
        <w:rPr>
          <w:rFonts w:ascii="Calibri" w:hAnsi="Calibri" w:cs="Calibri"/>
          <w:szCs w:val="22"/>
          <w:lang w:val="en-US"/>
        </w:rPr>
      </w:pPr>
      <w:r w:rsidRPr="00FB474B">
        <w:rPr>
          <w:rFonts w:ascii="Calibri" w:hAnsi="Calibri" w:cs="Calibri"/>
          <w:szCs w:val="22"/>
        </w:rPr>
        <w:t>Subject to a review at the end of placement, with the sponsoring firm, there may be an opportunity of further funding in the scholar’s final academic year</w:t>
      </w:r>
    </w:p>
    <w:p w14:paraId="05E1EDEA" w14:textId="77777777" w:rsidR="0036165F" w:rsidRPr="00B931C3" w:rsidRDefault="0036165F" w:rsidP="00B931C3">
      <w:pPr>
        <w:rPr>
          <w:rFonts w:cstheme="minorHAnsi"/>
          <w:szCs w:val="22"/>
          <w:lang w:val="en-US"/>
        </w:rPr>
      </w:pPr>
    </w:p>
    <w:p w14:paraId="4603C65A" w14:textId="77777777" w:rsidR="00C26B7E" w:rsidRPr="00B931C3" w:rsidRDefault="00C26B7E" w:rsidP="00B931C3">
      <w:pPr>
        <w:rPr>
          <w:rFonts w:cstheme="minorHAnsi"/>
          <w:szCs w:val="22"/>
        </w:rPr>
      </w:pPr>
    </w:p>
    <w:p w14:paraId="196FC289" w14:textId="26845E6B" w:rsidR="00E976C4" w:rsidRPr="00C26B7E" w:rsidRDefault="0036165F" w:rsidP="00C26B7E">
      <w:pPr>
        <w:rPr>
          <w:rFonts w:cstheme="minorHAnsi"/>
          <w:szCs w:val="22"/>
          <w:lang w:val="en-US"/>
        </w:rPr>
      </w:pPr>
      <w:r w:rsidRPr="00B931C3">
        <w:rPr>
          <w:rFonts w:cstheme="minorHAnsi"/>
          <w:szCs w:val="22"/>
        </w:rPr>
        <w:t xml:space="preserve">The award will be paid in two equal </w:t>
      </w:r>
      <w:proofErr w:type="gramStart"/>
      <w:r w:rsidRPr="00B931C3">
        <w:rPr>
          <w:rFonts w:cstheme="minorHAnsi"/>
          <w:szCs w:val="22"/>
        </w:rPr>
        <w:t>parts;</w:t>
      </w:r>
      <w:proofErr w:type="gramEnd"/>
      <w:r w:rsidRPr="00B931C3">
        <w:rPr>
          <w:rFonts w:cstheme="minorHAnsi"/>
          <w:szCs w:val="22"/>
        </w:rPr>
        <w:t xml:space="preserve"> </w:t>
      </w:r>
      <w:r w:rsidR="00A15445" w:rsidRPr="00B931C3">
        <w:rPr>
          <w:rFonts w:cstheme="minorHAnsi"/>
          <w:szCs w:val="22"/>
        </w:rPr>
        <w:t>half to be paid in February</w:t>
      </w:r>
      <w:r w:rsidR="00C26B7E">
        <w:rPr>
          <w:rFonts w:cstheme="minorHAnsi"/>
          <w:szCs w:val="22"/>
        </w:rPr>
        <w:t>/March</w:t>
      </w:r>
      <w:r w:rsidRPr="00B931C3">
        <w:rPr>
          <w:rFonts w:cstheme="minorHAnsi"/>
          <w:szCs w:val="22"/>
        </w:rPr>
        <w:t xml:space="preserve"> and t</w:t>
      </w:r>
      <w:r w:rsidR="00A15445" w:rsidRPr="00B931C3">
        <w:rPr>
          <w:rFonts w:cstheme="minorHAnsi"/>
          <w:szCs w:val="22"/>
        </w:rPr>
        <w:t>he remaining balance in May</w:t>
      </w:r>
      <w:r w:rsidR="004D47A7" w:rsidRPr="00B931C3">
        <w:rPr>
          <w:rFonts w:cstheme="minorHAnsi"/>
          <w:szCs w:val="22"/>
        </w:rPr>
        <w:t>.</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0"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0"/>
      <w:r w:rsidR="00E976C4" w:rsidRPr="00B931C3">
        <w:rPr>
          <w:rFonts w:cstheme="minorHAnsi"/>
        </w:rPr>
        <w:t xml:space="preserve"> A condition of your scholarship is that you undertake your placement year </w:t>
      </w:r>
      <w:r w:rsidR="009724D4" w:rsidRPr="00B931C3">
        <w:rPr>
          <w:rFonts w:cstheme="minorHAnsi"/>
        </w:rPr>
        <w:t>with</w:t>
      </w:r>
      <w:r w:rsidR="009724D4">
        <w:rPr>
          <w:rFonts w:cstheme="minorHAnsi"/>
        </w:rPr>
        <w:t xml:space="preserve"> </w:t>
      </w:r>
      <w:r w:rsidR="00FB474B">
        <w:rPr>
          <w:rFonts w:cstheme="minorHAnsi"/>
        </w:rPr>
        <w:t>BPC</w:t>
      </w:r>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BD3002C"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0D77B0A1" w:rsidR="00A15445" w:rsidRPr="00B931C3" w:rsidRDefault="00A15445" w:rsidP="00B931C3">
      <w:pPr>
        <w:rPr>
          <w:rFonts w:cstheme="minorHAnsi"/>
          <w:szCs w:val="22"/>
          <w:lang w:val="en-US"/>
        </w:rPr>
      </w:pPr>
    </w:p>
    <w:p w14:paraId="25F05F01" w14:textId="0632226C" w:rsidR="00E45149" w:rsidRPr="00B931C3" w:rsidRDefault="00166EEE" w:rsidP="00B931C3">
      <w:pPr>
        <w:rPr>
          <w:rFonts w:cstheme="minorHAnsi"/>
          <w:szCs w:val="22"/>
          <w:lang w:val="en-US"/>
        </w:rPr>
      </w:pPr>
      <w:r w:rsidRPr="00B931C3">
        <w:rPr>
          <w:rFonts w:cstheme="minorHAnsi"/>
          <w:szCs w:val="22"/>
          <w:lang w:val="en-US"/>
        </w:rPr>
        <w:t xml:space="preserve">The decision of </w:t>
      </w:r>
      <w:r w:rsidR="009724D4" w:rsidRPr="00B931C3">
        <w:rPr>
          <w:rFonts w:cstheme="minorHAnsi"/>
          <w:szCs w:val="22"/>
          <w:lang w:val="en-US"/>
        </w:rPr>
        <w:t xml:space="preserve">the </w:t>
      </w:r>
      <w:r w:rsidR="00FB474B">
        <w:rPr>
          <w:szCs w:val="22"/>
        </w:rPr>
        <w:t>BPC</w:t>
      </w:r>
      <w:r w:rsidR="009724D4">
        <w:rPr>
          <w:b/>
          <w:szCs w:val="22"/>
        </w:rPr>
        <w:t xml:space="preserve"> </w:t>
      </w:r>
      <w:r w:rsidR="0036165F" w:rsidRPr="00B931C3">
        <w:rPr>
          <w:rFonts w:cstheme="minorHAnsi"/>
          <w:szCs w:val="22"/>
          <w:lang w:val="en-US"/>
        </w:rPr>
        <w:t>Scholarship Panel</w:t>
      </w:r>
      <w:r w:rsidR="00BE32A6" w:rsidRPr="00B931C3">
        <w:rPr>
          <w:rFonts w:cstheme="minorHAnsi"/>
          <w:szCs w:val="22"/>
          <w:lang w:val="en-US"/>
        </w:rPr>
        <w:t xml:space="preserve"> </w:t>
      </w:r>
      <w:r w:rsidRPr="00B931C3">
        <w:rPr>
          <w:rFonts w:cstheme="minorHAnsi"/>
          <w:szCs w:val="22"/>
          <w:lang w:val="en-US"/>
        </w:rPr>
        <w:t xml:space="preserve">is </w:t>
      </w:r>
      <w:proofErr w:type="gramStart"/>
      <w:r w:rsidRPr="00B931C3">
        <w:rPr>
          <w:rFonts w:cstheme="minorHAnsi"/>
          <w:b/>
          <w:szCs w:val="22"/>
          <w:lang w:val="en-US"/>
        </w:rPr>
        <w:t>FINAL</w:t>
      </w:r>
      <w:proofErr w:type="gramEnd"/>
      <w:r w:rsidR="0095530E" w:rsidRPr="00B931C3">
        <w:rPr>
          <w:rFonts w:cstheme="minorHAnsi"/>
          <w:b/>
          <w:szCs w:val="22"/>
          <w:lang w:val="en-US"/>
        </w:rPr>
        <w:t xml:space="preserve"> </w:t>
      </w:r>
      <w:r w:rsidR="0095530E" w:rsidRPr="00B931C3">
        <w:rPr>
          <w:rFonts w:cstheme="minorHAnsi"/>
          <w:szCs w:val="22"/>
          <w:lang w:val="en-US"/>
        </w:rPr>
        <w:t>and they reserve the right to withdraw their award at any time should they feel this action is required.</w:t>
      </w:r>
      <w:r w:rsidR="00230175" w:rsidRPr="00B931C3">
        <w:rPr>
          <w:rFonts w:cstheme="minorHAnsi"/>
          <w:szCs w:val="22"/>
          <w:lang w:val="en-US"/>
        </w:rPr>
        <w:t xml:space="preserve"> </w:t>
      </w:r>
    </w:p>
    <w:p w14:paraId="11796921" w14:textId="55039A37" w:rsidR="00E45149" w:rsidRPr="00B931C3" w:rsidRDefault="00E45149" w:rsidP="00B931C3">
      <w:pPr>
        <w:rPr>
          <w:rFonts w:cstheme="minorHAnsi"/>
          <w:szCs w:val="22"/>
          <w:lang w:val="en-US"/>
        </w:rPr>
      </w:pPr>
    </w:p>
    <w:p w14:paraId="79C2E091" w14:textId="70F2765C" w:rsidR="002C5287" w:rsidRPr="00B931C3" w:rsidRDefault="00BE40AD" w:rsidP="006F46D8">
      <w:pPr>
        <w:jc w:val="center"/>
        <w:rPr>
          <w:rFonts w:eastAsia="+mn-ea" w:cstheme="minorHAnsi"/>
          <w:i/>
          <w:color w:val="000000"/>
          <w:kern w:val="24"/>
          <w:szCs w:val="22"/>
        </w:rPr>
      </w:pPr>
      <w:r w:rsidRPr="00B931C3">
        <w:rPr>
          <w:rFonts w:eastAsia="+mn-ea" w:cstheme="minorHAnsi"/>
          <w:i/>
          <w:color w:val="000000"/>
          <w:kern w:val="24"/>
          <w:szCs w:val="22"/>
        </w:rPr>
        <w:t xml:space="preserve">Shortlisted applicants </w:t>
      </w:r>
      <w:r w:rsidR="00E45149" w:rsidRPr="00B931C3">
        <w:rPr>
          <w:rFonts w:eastAsia="+mn-ea" w:cstheme="minorHAnsi"/>
          <w:i/>
          <w:color w:val="000000"/>
          <w:kern w:val="24"/>
          <w:szCs w:val="22"/>
        </w:rPr>
        <w:t>will be invited to</w:t>
      </w:r>
      <w:r w:rsidR="00F66B5C" w:rsidRPr="00B931C3">
        <w:rPr>
          <w:rFonts w:eastAsia="+mn-ea" w:cstheme="minorHAnsi"/>
          <w:i/>
          <w:color w:val="000000"/>
          <w:kern w:val="24"/>
          <w:szCs w:val="22"/>
        </w:rPr>
        <w:t xml:space="preserve"> interview with</w:t>
      </w:r>
    </w:p>
    <w:p w14:paraId="442E02C0" w14:textId="78196F9B" w:rsidR="00CF4CED" w:rsidRPr="00B931C3" w:rsidRDefault="00FB474B" w:rsidP="006F46D8">
      <w:pPr>
        <w:jc w:val="center"/>
        <w:rPr>
          <w:rFonts w:eastAsia="+mn-ea" w:cstheme="minorHAnsi"/>
          <w:i/>
          <w:color w:val="000000"/>
          <w:kern w:val="24"/>
          <w:szCs w:val="22"/>
        </w:rPr>
      </w:pPr>
      <w:r>
        <w:rPr>
          <w:b/>
          <w:szCs w:val="22"/>
        </w:rPr>
        <w:t>BPC</w:t>
      </w:r>
      <w:r w:rsidR="009724D4">
        <w:rPr>
          <w:b/>
          <w:szCs w:val="22"/>
        </w:rPr>
        <w:t xml:space="preserve"> </w:t>
      </w:r>
      <w:r w:rsidR="001E7302" w:rsidRPr="00B931C3">
        <w:rPr>
          <w:rFonts w:eastAsia="+mn-ea" w:cstheme="minorHAnsi"/>
          <w:i/>
          <w:color w:val="000000"/>
          <w:kern w:val="24"/>
          <w:szCs w:val="22"/>
        </w:rPr>
        <w:t>between</w:t>
      </w:r>
    </w:p>
    <w:p w14:paraId="6319D3B0" w14:textId="04E0334F" w:rsidR="00E45149" w:rsidRDefault="00C93CFF" w:rsidP="006F46D8">
      <w:pPr>
        <w:jc w:val="center"/>
        <w:rPr>
          <w:rFonts w:eastAsia="+mn-ea" w:cstheme="minorHAnsi"/>
          <w:b/>
          <w:color w:val="000000"/>
          <w:kern w:val="24"/>
          <w:szCs w:val="22"/>
        </w:r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26F1C826" w14:textId="34A57F14" w:rsidR="00204BCE" w:rsidRDefault="00204BCE" w:rsidP="006F46D8">
      <w:pPr>
        <w:jc w:val="center"/>
        <w:rPr>
          <w:rFonts w:eastAsia="+mn-ea" w:cstheme="minorHAnsi"/>
          <w:b/>
          <w:color w:val="000000"/>
          <w:kern w:val="24"/>
          <w:szCs w:val="22"/>
        </w:rPr>
      </w:pPr>
    </w:p>
    <w:p w14:paraId="7D331BEC" w14:textId="72611FFD" w:rsidR="00204BCE" w:rsidRDefault="00204BCE" w:rsidP="006F46D8">
      <w:pPr>
        <w:jc w:val="center"/>
        <w:rPr>
          <w:rFonts w:eastAsia="+mn-ea" w:cstheme="minorHAnsi"/>
          <w:b/>
          <w:color w:val="000000"/>
          <w:kern w:val="24"/>
          <w:szCs w:val="22"/>
        </w:rPr>
      </w:pPr>
    </w:p>
    <w:p w14:paraId="5AC80407" w14:textId="7EBD7E5D" w:rsidR="00204BCE" w:rsidRPr="00204BCE" w:rsidRDefault="00204BCE" w:rsidP="00204BCE">
      <w:pPr>
        <w:spacing w:before="100" w:beforeAutospacing="1" w:after="100" w:afterAutospacing="1"/>
        <w:rPr>
          <w:rFonts w:ascii="Times New Roman" w:hAnsi="Times New Roman"/>
          <w:sz w:val="24"/>
        </w:rPr>
      </w:pPr>
      <w:r>
        <w:rPr>
          <w:rFonts w:cstheme="minorHAnsi"/>
          <w:b/>
          <w:noProof/>
          <w:szCs w:val="22"/>
        </w:rPr>
        <w:drawing>
          <wp:anchor distT="0" distB="0" distL="114300" distR="114300" simplePos="0" relativeHeight="251660288" behindDoc="1" locked="0" layoutInCell="1" allowOverlap="1" wp14:anchorId="3D862B67" wp14:editId="22C83819">
            <wp:simplePos x="0" y="0"/>
            <wp:positionH relativeFrom="column">
              <wp:posOffset>4591050</wp:posOffset>
            </wp:positionH>
            <wp:positionV relativeFrom="paragraph">
              <wp:posOffset>193040</wp:posOffset>
            </wp:positionV>
            <wp:extent cx="1533525" cy="638175"/>
            <wp:effectExtent l="0" t="0" r="9525" b="9525"/>
            <wp:wrapTight wrapText="bothSides">
              <wp:wrapPolygon edited="0">
                <wp:start x="0" y="0"/>
                <wp:lineTo x="0" y="21278"/>
                <wp:lineTo x="21466" y="21278"/>
                <wp:lineTo x="21466" y="0"/>
                <wp:lineTo x="0" y="0"/>
              </wp:wrapPolygon>
            </wp:wrapTight>
            <wp:docPr id="46844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638175"/>
                    </a:xfrm>
                    <a:prstGeom prst="rect">
                      <a:avLst/>
                    </a:prstGeom>
                    <a:noFill/>
                  </pic:spPr>
                </pic:pic>
              </a:graphicData>
            </a:graphic>
          </wp:anchor>
        </w:drawing>
      </w:r>
      <w:r w:rsidRPr="00204BCE">
        <w:rPr>
          <w:rFonts w:ascii="Times New Roman" w:hAnsi="Times New Roman"/>
          <w:noProof/>
          <w:sz w:val="24"/>
        </w:rPr>
        <w:drawing>
          <wp:anchor distT="0" distB="0" distL="114300" distR="114300" simplePos="0" relativeHeight="251659264" behindDoc="1" locked="0" layoutInCell="1" allowOverlap="1" wp14:anchorId="464F7103" wp14:editId="413C7799">
            <wp:simplePos x="0" y="0"/>
            <wp:positionH relativeFrom="column">
              <wp:posOffset>2002790</wp:posOffset>
            </wp:positionH>
            <wp:positionV relativeFrom="paragraph">
              <wp:posOffset>297815</wp:posOffset>
            </wp:positionV>
            <wp:extent cx="1750060" cy="409575"/>
            <wp:effectExtent l="0" t="0" r="2540" b="9525"/>
            <wp:wrapTight wrapText="bothSides">
              <wp:wrapPolygon edited="0">
                <wp:start x="0" y="0"/>
                <wp:lineTo x="0" y="21098"/>
                <wp:lineTo x="21396" y="21098"/>
                <wp:lineTo x="21396" y="0"/>
                <wp:lineTo x="0" y="0"/>
              </wp:wrapPolygon>
            </wp:wrapTight>
            <wp:docPr id="2" name="Picture 1" descr="A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yellow text on a black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0060" cy="409575"/>
                    </a:xfrm>
                    <a:prstGeom prst="rect">
                      <a:avLst/>
                    </a:prstGeom>
                    <a:noFill/>
                    <a:ln>
                      <a:noFill/>
                    </a:ln>
                  </pic:spPr>
                </pic:pic>
              </a:graphicData>
            </a:graphic>
          </wp:anchor>
        </w:drawing>
      </w:r>
      <w:r w:rsidRPr="00204BCE">
        <w:rPr>
          <w:rFonts w:ascii="Times New Roman" w:hAnsi="Times New Roman"/>
          <w:noProof/>
          <w:sz w:val="24"/>
        </w:rPr>
        <w:drawing>
          <wp:anchor distT="0" distB="0" distL="114300" distR="114300" simplePos="0" relativeHeight="251658240" behindDoc="1" locked="0" layoutInCell="1" allowOverlap="1" wp14:anchorId="46B09F94" wp14:editId="67276AE2">
            <wp:simplePos x="0" y="0"/>
            <wp:positionH relativeFrom="margin">
              <wp:align>left</wp:align>
            </wp:positionH>
            <wp:positionV relativeFrom="paragraph">
              <wp:posOffset>107315</wp:posOffset>
            </wp:positionV>
            <wp:extent cx="1571625" cy="847725"/>
            <wp:effectExtent l="0" t="0" r="9525" b="9525"/>
            <wp:wrapTight wrapText="bothSides">
              <wp:wrapPolygon edited="0">
                <wp:start x="0" y="0"/>
                <wp:lineTo x="0" y="21357"/>
                <wp:lineTo x="21469" y="21357"/>
                <wp:lineTo x="21469" y="0"/>
                <wp:lineTo x="0" y="0"/>
              </wp:wrapPolygon>
            </wp:wrapTight>
            <wp:docPr id="4"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847725"/>
                    </a:xfrm>
                    <a:prstGeom prst="rect">
                      <a:avLst/>
                    </a:prstGeom>
                    <a:noFill/>
                    <a:ln>
                      <a:noFill/>
                    </a:ln>
                  </pic:spPr>
                </pic:pic>
              </a:graphicData>
            </a:graphic>
          </wp:anchor>
        </w:drawing>
      </w:r>
    </w:p>
    <w:p w14:paraId="159F152B" w14:textId="1A02E25D" w:rsidR="00204BCE" w:rsidRPr="00204BCE" w:rsidRDefault="00204BCE" w:rsidP="00204BCE">
      <w:pPr>
        <w:spacing w:before="100" w:beforeAutospacing="1" w:after="100" w:afterAutospacing="1"/>
        <w:rPr>
          <w:rFonts w:ascii="Times New Roman" w:hAnsi="Times New Roman"/>
          <w:sz w:val="24"/>
        </w:rPr>
      </w:pPr>
    </w:p>
    <w:p w14:paraId="2630739D" w14:textId="15D128F8" w:rsidR="00204BCE" w:rsidRPr="00B931C3" w:rsidRDefault="00204BCE" w:rsidP="006F46D8">
      <w:pPr>
        <w:jc w:val="center"/>
        <w:rPr>
          <w:rFonts w:cstheme="minorHAnsi"/>
          <w:b/>
          <w:szCs w:val="22"/>
        </w:rPr>
        <w:sectPr w:rsidR="00204BCE" w:rsidRPr="00B931C3" w:rsidSect="00135300">
          <w:headerReference w:type="default" r:id="rId11"/>
          <w:footerReference w:type="default" r:id="rId12"/>
          <w:pgSz w:w="11906" w:h="16838" w:code="9"/>
          <w:pgMar w:top="1440" w:right="1080" w:bottom="1440" w:left="1080" w:header="294" w:footer="720" w:gutter="0"/>
          <w:cols w:space="720"/>
          <w:docGrid w:linePitch="360"/>
        </w:sectPr>
      </w:pP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w:t>
      </w:r>
      <w:proofErr w:type="gramStart"/>
      <w:r w:rsidR="00CA7440" w:rsidRPr="00B931C3">
        <w:rPr>
          <w:rFonts w:cstheme="minorHAnsi"/>
        </w:rPr>
        <w:t xml:space="preserve">CV </w:t>
      </w:r>
      <w:r w:rsidRPr="00B931C3">
        <w:rPr>
          <w:rFonts w:cstheme="minorHAnsi"/>
        </w:rPr>
        <w:t>:</w:t>
      </w:r>
      <w:proofErr w:type="gramEnd"/>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2940BA1E"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 xml:space="preserve">Why ultimately you are interested in a career with </w:t>
      </w:r>
      <w:r w:rsidR="00FB474B">
        <w:t>BPC</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 xml:space="preserve">Please note - you may ONLY apply for a maximum of 3 </w:t>
      </w:r>
      <w:proofErr w:type="gramStart"/>
      <w:r w:rsidRPr="00B931C3">
        <w:rPr>
          <w:rFonts w:cstheme="minorHAnsi"/>
          <w:b/>
          <w:bCs/>
          <w:color w:val="FF0000"/>
          <w:szCs w:val="22"/>
        </w:rPr>
        <w:t>placement based</w:t>
      </w:r>
      <w:proofErr w:type="gramEnd"/>
      <w:r w:rsidRPr="00B931C3">
        <w:rPr>
          <w:rFonts w:cstheme="minorHAnsi"/>
          <w:b/>
          <w:bCs/>
          <w:color w:val="FF0000"/>
          <w:szCs w:val="22"/>
        </w:rPr>
        <w:t xml:space="preserve">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 xml:space="preserve">decide </w:t>
      </w:r>
      <w:proofErr w:type="gramStart"/>
      <w:r w:rsidRPr="00B931C3">
        <w:rPr>
          <w:rFonts w:cstheme="minorHAnsi"/>
          <w:b/>
          <w:szCs w:val="22"/>
          <w:lang w:val="en-US"/>
        </w:rPr>
        <w:t>whether or not</w:t>
      </w:r>
      <w:proofErr w:type="gramEnd"/>
      <w:r w:rsidRPr="00B931C3">
        <w:rPr>
          <w:rFonts w:cstheme="minorHAnsi"/>
          <w:b/>
          <w:szCs w:val="22"/>
          <w:lang w:val="en-US"/>
        </w:rPr>
        <w:t xml:space="preserve">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 xml:space="preserve">hours; failure to do so in the designated </w:t>
      </w:r>
      <w:proofErr w:type="gramStart"/>
      <w:r w:rsidR="00EB39AF" w:rsidRPr="00B931C3">
        <w:rPr>
          <w:rFonts w:cstheme="minorHAnsi"/>
          <w:b/>
          <w:szCs w:val="22"/>
          <w:lang w:val="en-US"/>
        </w:rPr>
        <w:t>time perio</w:t>
      </w:r>
      <w:r w:rsidRPr="00B931C3">
        <w:rPr>
          <w:rFonts w:cstheme="minorHAnsi"/>
          <w:b/>
          <w:szCs w:val="22"/>
          <w:lang w:val="en-US"/>
        </w:rPr>
        <w:t>d</w:t>
      </w:r>
      <w:proofErr w:type="gramEnd"/>
      <w:r w:rsidRPr="00B931C3">
        <w:rPr>
          <w:rFonts w:cstheme="minorHAnsi"/>
          <w:b/>
          <w:szCs w:val="22"/>
          <w:lang w:val="en-US"/>
        </w:rPr>
        <w:t xml:space="preserve">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3"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4">
        <w:r w:rsidRPr="00C44BFF">
          <w:rPr>
            <w:b/>
            <w:szCs w:val="22"/>
            <w:u w:val="single" w:color="000000"/>
          </w:rPr>
          <w:t xml:space="preserve">Records Retention </w:t>
        </w:r>
      </w:hyperlink>
      <w:hyperlink r:id="rId15">
        <w:r w:rsidRPr="00C44BFF">
          <w:rPr>
            <w:b/>
            <w:szCs w:val="22"/>
            <w:u w:val="single" w:color="000000"/>
          </w:rPr>
          <w:t>Guidelines.</w:t>
        </w:r>
      </w:hyperlink>
      <w:hyperlink r:id="rId16">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7">
        <w:r w:rsidRPr="00C44BFF">
          <w:rPr>
            <w:b/>
            <w:szCs w:val="22"/>
            <w:u w:val="single" w:color="000000"/>
          </w:rPr>
          <w:t>Data Protection Policy</w:t>
        </w:r>
      </w:hyperlink>
      <w:hyperlink r:id="rId18">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9">
        <w:r w:rsidRPr="00C44BFF">
          <w:rPr>
            <w:b/>
            <w:szCs w:val="22"/>
            <w:u w:val="single" w:color="000000"/>
          </w:rPr>
          <w:t>Universit</w:t>
        </w:r>
      </w:hyperlink>
      <w:hyperlink r:id="rId20">
        <w:r w:rsidRPr="00C44BFF">
          <w:rPr>
            <w:b/>
            <w:szCs w:val="22"/>
          </w:rPr>
          <w:t>y</w:t>
        </w:r>
      </w:hyperlink>
      <w:hyperlink r:id="rId21">
        <w:r w:rsidRPr="00C44BFF">
          <w:rPr>
            <w:b/>
            <w:szCs w:val="22"/>
            <w:u w:val="single" w:color="000000"/>
          </w:rPr>
          <w:t xml:space="preserve"> website</w:t>
        </w:r>
      </w:hyperlink>
      <w:r w:rsidRPr="00C44BFF">
        <w:rPr>
          <w:szCs w:val="22"/>
        </w:rPr>
        <w:t xml:space="preserve"> or contact the Data Protection Officer on </w:t>
      </w:r>
      <w:hyperlink r:id="rId22"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01947423"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24C058AE" w:rsidR="006C0E6C" w:rsidRDefault="009350BE" w:rsidP="00435962">
    <w:pPr>
      <w:pStyle w:val="Header"/>
      <w:jc w:val="center"/>
      <w:rPr>
        <w:rFonts w:ascii="Arial Black" w:hAnsi="Arial Black"/>
        <w:b/>
        <w:sz w:val="28"/>
        <w:szCs w:val="28"/>
      </w:rPr>
    </w:pPr>
    <w:r>
      <w:rPr>
        <w:noProof/>
      </w:rPr>
      <w:drawing>
        <wp:anchor distT="0" distB="0" distL="114300" distR="114300" simplePos="0" relativeHeight="251662336" behindDoc="0" locked="0" layoutInCell="1" allowOverlap="1" wp14:anchorId="2752B3F7" wp14:editId="72A348E3">
          <wp:simplePos x="0" y="0"/>
          <wp:positionH relativeFrom="margin">
            <wp:align>right</wp:align>
          </wp:positionH>
          <wp:positionV relativeFrom="paragraph">
            <wp:posOffset>12700</wp:posOffset>
          </wp:positionV>
          <wp:extent cx="2571750" cy="766382"/>
          <wp:effectExtent l="0" t="0" r="0" b="0"/>
          <wp:wrapThrough wrapText="bothSides">
            <wp:wrapPolygon edited="0">
              <wp:start x="0" y="0"/>
              <wp:lineTo x="0" y="20955"/>
              <wp:lineTo x="21440" y="20955"/>
              <wp:lineTo x="21440" y="0"/>
              <wp:lineTo x="0" y="0"/>
            </wp:wrapPolygon>
          </wp:wrapThrough>
          <wp:docPr id="6" name="Picture 6"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71750" cy="766382"/>
                  </a:xfrm>
                  <a:prstGeom prst="rect">
                    <a:avLst/>
                  </a:prstGeom>
                </pic:spPr>
              </pic:pic>
            </a:graphicData>
          </a:graphic>
          <wp14:sizeRelH relativeFrom="page">
            <wp14:pctWidth>0</wp14:pctWidth>
          </wp14:sizeRelH>
          <wp14:sizeRelV relativeFrom="page">
            <wp14:pctHeight>0</wp14:pctHeight>
          </wp14:sizeRelV>
        </wp:anchor>
      </w:drawing>
    </w:r>
    <w:r w:rsidR="007402A8">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2150685C"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75A8087D" w14:textId="0A2600B7" w:rsidR="003A5734" w:rsidRDefault="003A5734" w:rsidP="00435962">
    <w:pPr>
      <w:pStyle w:val="Header"/>
      <w:jc w:val="center"/>
      <w:rPr>
        <w:rFonts w:ascii="Arial Black" w:hAnsi="Arial Black"/>
        <w:b/>
        <w:sz w:val="32"/>
        <w:szCs w:val="32"/>
      </w:rPr>
    </w:pPr>
    <w:r>
      <w:rPr>
        <w:rFonts w:ascii="Arial Black" w:hAnsi="Arial Black"/>
        <w:b/>
        <w:sz w:val="32"/>
        <w:szCs w:val="32"/>
      </w:rPr>
      <w:t xml:space="preserve">The BPC </w:t>
    </w:r>
  </w:p>
  <w:p w14:paraId="0F244E5A" w14:textId="57FF3BDA" w:rsidR="00E341F6" w:rsidRPr="00176C2D" w:rsidRDefault="00E341F6" w:rsidP="00435962">
    <w:pPr>
      <w:pStyle w:val="Header"/>
      <w:jc w:val="center"/>
      <w:rPr>
        <w:rFonts w:ascii="Arial Black" w:hAnsi="Arial Black"/>
        <w:b/>
        <w:sz w:val="32"/>
        <w:szCs w:val="32"/>
      </w:rPr>
    </w:pPr>
    <w:r w:rsidRPr="00176C2D">
      <w:rPr>
        <w:rFonts w:ascii="Arial Black" w:hAnsi="Arial Black"/>
        <w:b/>
        <w:sz w:val="32"/>
        <w:szCs w:val="32"/>
      </w:rPr>
      <w:t xml:space="preserve">Scholarship </w:t>
    </w:r>
    <w:r w:rsidR="001B3943">
      <w:rPr>
        <w:rFonts w:ascii="Arial Black" w:hAnsi="Arial Black"/>
        <w:b/>
        <w:sz w:val="32"/>
        <w:szCs w:val="32"/>
      </w:rPr>
      <w:t>Application Information</w:t>
    </w:r>
    <w:r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4617A69"/>
    <w:multiLevelType w:val="hybridMultilevel"/>
    <w:tmpl w:val="CA549132"/>
    <w:lvl w:ilvl="0" w:tplc="AD32DD7E">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9"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2"/>
  </w:num>
  <w:num w:numId="2" w16cid:durableId="78644193">
    <w:abstractNumId w:val="9"/>
  </w:num>
  <w:num w:numId="3" w16cid:durableId="478500953">
    <w:abstractNumId w:val="14"/>
  </w:num>
  <w:num w:numId="4" w16cid:durableId="771631424">
    <w:abstractNumId w:val="7"/>
  </w:num>
  <w:num w:numId="5" w16cid:durableId="1178544551">
    <w:abstractNumId w:val="5"/>
  </w:num>
  <w:num w:numId="6" w16cid:durableId="263922044">
    <w:abstractNumId w:val="3"/>
  </w:num>
  <w:num w:numId="7" w16cid:durableId="81609480">
    <w:abstractNumId w:val="4"/>
  </w:num>
  <w:num w:numId="8" w16cid:durableId="1406103955">
    <w:abstractNumId w:val="11"/>
  </w:num>
  <w:num w:numId="9" w16cid:durableId="1761608553">
    <w:abstractNumId w:val="0"/>
  </w:num>
  <w:num w:numId="10" w16cid:durableId="181301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10"/>
  </w:num>
  <w:num w:numId="12" w16cid:durableId="745953954">
    <w:abstractNumId w:val="15"/>
  </w:num>
  <w:num w:numId="13" w16cid:durableId="988897764">
    <w:abstractNumId w:val="6"/>
  </w:num>
  <w:num w:numId="14" w16cid:durableId="117645205">
    <w:abstractNumId w:val="12"/>
  </w:num>
  <w:num w:numId="15" w16cid:durableId="2035036072">
    <w:abstractNumId w:val="13"/>
  </w:num>
  <w:num w:numId="16" w16cid:durableId="1763065911">
    <w:abstractNumId w:val="8"/>
  </w:num>
  <w:num w:numId="17" w16cid:durableId="195127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017F0"/>
    <w:rsid w:val="00010D2B"/>
    <w:rsid w:val="00020A1D"/>
    <w:rsid w:val="000212D8"/>
    <w:rsid w:val="00044620"/>
    <w:rsid w:val="00046ED2"/>
    <w:rsid w:val="00053DCD"/>
    <w:rsid w:val="00054D2F"/>
    <w:rsid w:val="00095FF3"/>
    <w:rsid w:val="00096956"/>
    <w:rsid w:val="000A07B2"/>
    <w:rsid w:val="000A1AD9"/>
    <w:rsid w:val="000A7FB1"/>
    <w:rsid w:val="000B2750"/>
    <w:rsid w:val="000B3615"/>
    <w:rsid w:val="000B54A0"/>
    <w:rsid w:val="000F52E7"/>
    <w:rsid w:val="000F5E6A"/>
    <w:rsid w:val="00111639"/>
    <w:rsid w:val="00113927"/>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6369"/>
    <w:rsid w:val="001E0617"/>
    <w:rsid w:val="001E0F71"/>
    <w:rsid w:val="001E7302"/>
    <w:rsid w:val="001F3D7C"/>
    <w:rsid w:val="001F74B2"/>
    <w:rsid w:val="001F793F"/>
    <w:rsid w:val="0020149D"/>
    <w:rsid w:val="00204BCE"/>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84F75"/>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5734"/>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4F4E26"/>
    <w:rsid w:val="00527AF6"/>
    <w:rsid w:val="00554F7C"/>
    <w:rsid w:val="00566CDA"/>
    <w:rsid w:val="00567EB1"/>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9D2"/>
    <w:rsid w:val="00776AE0"/>
    <w:rsid w:val="0079148C"/>
    <w:rsid w:val="007D59AB"/>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1C2B"/>
    <w:rsid w:val="008B533B"/>
    <w:rsid w:val="008C2181"/>
    <w:rsid w:val="008C434A"/>
    <w:rsid w:val="008C5D89"/>
    <w:rsid w:val="008D01E4"/>
    <w:rsid w:val="008D326A"/>
    <w:rsid w:val="00910298"/>
    <w:rsid w:val="00934063"/>
    <w:rsid w:val="009350BE"/>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E2DB8"/>
    <w:rsid w:val="009E5CA3"/>
    <w:rsid w:val="009E6BBF"/>
    <w:rsid w:val="009F606E"/>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35597"/>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73DC7"/>
    <w:rsid w:val="00C7461E"/>
    <w:rsid w:val="00C822E1"/>
    <w:rsid w:val="00C93CFF"/>
    <w:rsid w:val="00CA3372"/>
    <w:rsid w:val="00CA7440"/>
    <w:rsid w:val="00CD2D52"/>
    <w:rsid w:val="00CD40FA"/>
    <w:rsid w:val="00CF05C6"/>
    <w:rsid w:val="00CF20E1"/>
    <w:rsid w:val="00CF4CED"/>
    <w:rsid w:val="00D10D32"/>
    <w:rsid w:val="00D24E11"/>
    <w:rsid w:val="00D30162"/>
    <w:rsid w:val="00D34890"/>
    <w:rsid w:val="00D91284"/>
    <w:rsid w:val="00D966B5"/>
    <w:rsid w:val="00DA7DD4"/>
    <w:rsid w:val="00DB04ED"/>
    <w:rsid w:val="00DB3421"/>
    <w:rsid w:val="00DD0332"/>
    <w:rsid w:val="00DE12AF"/>
    <w:rsid w:val="00DE1845"/>
    <w:rsid w:val="00DF5BC1"/>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CAB"/>
    <w:rsid w:val="00EA61A1"/>
    <w:rsid w:val="00EB1328"/>
    <w:rsid w:val="00EB39AF"/>
    <w:rsid w:val="00EC309D"/>
    <w:rsid w:val="00EC44EC"/>
    <w:rsid w:val="00EF36FE"/>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B474B"/>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087920880">
      <w:bodyDiv w:val="1"/>
      <w:marLeft w:val="0"/>
      <w:marRight w:val="0"/>
      <w:marTop w:val="0"/>
      <w:marBottom w:val="0"/>
      <w:divBdr>
        <w:top w:val="none" w:sz="0" w:space="0" w:color="auto"/>
        <w:left w:val="none" w:sz="0" w:space="0" w:color="auto"/>
        <w:bottom w:val="none" w:sz="0" w:space="0" w:color="auto"/>
        <w:right w:val="none" w:sz="0" w:space="0" w:color="auto"/>
      </w:divBdr>
    </w:div>
    <w:div w:id="1285623159">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tect-eu.mimecast.com/s/H5bDCq7GkU0jV9hZSmfU?domain=harper.ac.uk"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hyperlink" Target="https://www.harper-adams.ac.uk/general/governance/publication-scheme.cf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harper-adams.ac.uk/general/governance/publication-scheme.cf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arper-adams.ac.uk/general/governance/publication-scheme.cfm" TargetMode="External"/><Relationship Id="rId22" Type="http://schemas.openxmlformats.org/officeDocument/2006/relationships/hyperlink" Target="mailto:dpo@harper-adams.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929</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6</cp:revision>
  <cp:lastPrinted>2016-08-11T10:40:00Z</cp:lastPrinted>
  <dcterms:created xsi:type="dcterms:W3CDTF">2025-07-07T13:36:00Z</dcterms:created>
  <dcterms:modified xsi:type="dcterms:W3CDTF">2025-08-20T10:16:00Z</dcterms:modified>
</cp:coreProperties>
</file>